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6EF05AB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1920E7">
        <w:rPr>
          <w:bCs/>
          <w:noProof w:val="0"/>
          <w:sz w:val="24"/>
          <w:szCs w:val="24"/>
        </w:rPr>
        <w:t>2</w:t>
      </w:r>
      <w:r w:rsidR="005C0CD8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</w:t>
      </w:r>
      <w:r w:rsidR="00E3746D">
        <w:rPr>
          <w:bCs/>
          <w:noProof w:val="0"/>
          <w:sz w:val="24"/>
          <w:szCs w:val="24"/>
        </w:rPr>
        <w:t>2301495</w:t>
      </w:r>
    </w:p>
    <w:p w14:paraId="11776FA6" w14:textId="6AC0F90B" w:rsidR="00A209D6" w:rsidRPr="00465587" w:rsidRDefault="00590344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Athens, Greece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27</w:t>
      </w:r>
      <w:r w:rsidRPr="00590344"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February</w:t>
      </w:r>
      <w:r w:rsidR="002B1D88">
        <w:rPr>
          <w:bCs/>
          <w:sz w:val="24"/>
          <w:szCs w:val="24"/>
          <w:lang w:eastAsia="zh-CN"/>
        </w:rPr>
        <w:t xml:space="preserve"> </w:t>
      </w:r>
      <w:r w:rsidR="00F00A10"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3</w:t>
      </w:r>
      <w:r w:rsidRPr="00590344">
        <w:rPr>
          <w:bCs/>
          <w:sz w:val="24"/>
          <w:szCs w:val="24"/>
          <w:vertAlign w:val="superscript"/>
          <w:lang w:eastAsia="zh-CN"/>
        </w:rPr>
        <w:t>rd</w:t>
      </w:r>
      <w:r>
        <w:rPr>
          <w:bCs/>
          <w:sz w:val="24"/>
          <w:szCs w:val="24"/>
          <w:lang w:eastAsia="zh-CN"/>
        </w:rPr>
        <w:t xml:space="preserve"> March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9D6EA3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90344">
        <w:rPr>
          <w:rFonts w:cs="Arial"/>
          <w:b/>
          <w:bCs/>
          <w:sz w:val="24"/>
        </w:rPr>
        <w:t>8.6.3.2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F717AF3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590344">
        <w:rPr>
          <w:rFonts w:eastAsia="SimSun"/>
          <w:b/>
          <w:bCs/>
          <w:sz w:val="24"/>
          <w:szCs w:val="20"/>
          <w:lang w:val="en-GB" w:eastAsia="en-US"/>
        </w:rPr>
        <w:t>Other mobility enhancements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1F147C23" w14:textId="096D7A60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9C40BB">
        <w:rPr>
          <w:rFonts w:eastAsia="SimSun"/>
          <w:b/>
          <w:bCs/>
          <w:sz w:val="24"/>
          <w:szCs w:val="20"/>
          <w:lang w:val="en-GB" w:eastAsia="en-US"/>
        </w:rPr>
        <w:t>IoT_NTN_enh-Core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45158CFF" w14:textId="0CC0364A" w:rsidR="00F00A10" w:rsidRDefault="00590344" w:rsidP="00F00A10">
      <w:r>
        <w:t>In RAN#</w:t>
      </w:r>
      <w:r w:rsidR="00CD7B63">
        <w:t>94</w:t>
      </w:r>
      <w:r w:rsidR="005347CB">
        <w:t>-</w:t>
      </w:r>
      <w:r w:rsidR="00CD7B63">
        <w:t>e</w:t>
      </w:r>
      <w:r>
        <w:t xml:space="preserve"> the WID for Rel-18 IoT NTN was agreed</w:t>
      </w:r>
      <w:r w:rsidR="00CD7B63">
        <w:t xml:space="preserve"> [</w:t>
      </w:r>
      <w:r w:rsidR="00343335">
        <w:t>1</w:t>
      </w:r>
      <w:r w:rsidR="00CD7B63">
        <w:t>]</w:t>
      </w:r>
      <w:r>
        <w:t xml:space="preserve"> and in RAN#98-e</w:t>
      </w:r>
      <w:r w:rsidR="00CD7B63">
        <w:t xml:space="preserve"> </w:t>
      </w:r>
      <w:r>
        <w:t>it was updated</w:t>
      </w:r>
      <w:r w:rsidR="00CD7B63">
        <w:t xml:space="preserve"> [</w:t>
      </w:r>
      <w:r w:rsidR="00343335">
        <w:t>2</w:t>
      </w:r>
      <w:r w:rsidR="00CD7B63">
        <w:t>]</w:t>
      </w:r>
      <w:r>
        <w:t xml:space="preserve">. </w:t>
      </w:r>
      <w:r w:rsidR="00760805">
        <w:t>The</w:t>
      </w:r>
      <w:r w:rsidR="000C3674">
        <w:t xml:space="preserve"> updated</w:t>
      </w:r>
      <w:r w:rsidR="00CD7B63">
        <w:t xml:space="preserve"> objectives of the</w:t>
      </w:r>
      <w:r w:rsidR="00760805">
        <w:t xml:space="preserve"> WID is the following: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3674" w14:paraId="09994068" w14:textId="77777777" w:rsidTr="000C3674">
        <w:tc>
          <w:tcPr>
            <w:tcW w:w="9631" w:type="dxa"/>
          </w:tcPr>
          <w:p w14:paraId="57489565" w14:textId="77777777" w:rsidR="000C3674" w:rsidRDefault="000C3674" w:rsidP="000C3674">
            <w:pPr>
              <w:spacing w:after="60"/>
            </w:pPr>
            <w:r w:rsidRPr="00C46EE3">
              <w:t>4.1.</w:t>
            </w:r>
            <w:r>
              <w:t>1</w:t>
            </w:r>
            <w:r w:rsidRPr="00C46EE3">
              <w:tab/>
              <w:t>IoT-NTN Performance Enhancements in Rel-18 to address remaining issues from Rel-17</w:t>
            </w:r>
          </w:p>
          <w:p w14:paraId="169825B3" w14:textId="77777777" w:rsidR="000C3674" w:rsidRPr="00976C7F" w:rsidRDefault="000C3674" w:rsidP="000C3674">
            <w:pPr>
              <w:spacing w:after="60"/>
            </w:pPr>
            <w:r w:rsidRPr="003E46BA">
              <w:t xml:space="preserve">This work considers Rel-17 IoT-NTN as baseline as well as Rel-17 NR-NTN outcome and the further IoT-NTN </w:t>
            </w:r>
            <w:r w:rsidRPr="00AA0097">
              <w:t>performance enhancements objectives are listed below</w:t>
            </w:r>
            <w:r w:rsidRPr="00976C7F">
              <w:t>:</w:t>
            </w:r>
          </w:p>
          <w:p w14:paraId="65EB0DFB" w14:textId="77777777" w:rsidR="000C3674" w:rsidRPr="00F10936" w:rsidRDefault="000C3674" w:rsidP="000C3674">
            <w:pPr>
              <w:pStyle w:val="B1"/>
              <w:spacing w:after="60"/>
            </w:pPr>
            <w:r>
              <w:t>-</w:t>
            </w:r>
            <w:r>
              <w:tab/>
            </w:r>
            <w:r w:rsidRPr="00F10936">
              <w:t>Disabling of HARQ feedback to mitigate impact of HARQ stalling on UE data rates [RAN1,RAN2]</w:t>
            </w:r>
          </w:p>
          <w:p w14:paraId="05843ABE" w14:textId="77777777" w:rsidR="000C3674" w:rsidRDefault="000C3674" w:rsidP="000C3674">
            <w:pPr>
              <w:pStyle w:val="B1"/>
              <w:spacing w:after="60"/>
            </w:pPr>
            <w:r>
              <w:t>-</w:t>
            </w:r>
            <w:r>
              <w:tab/>
            </w:r>
            <w:r w:rsidRPr="006567CA">
              <w:t>Study and specify needed improved GNSS operations for a new position fix for UE pre-compensation during long connection times and for reduced power consumption</w:t>
            </w:r>
            <w:r w:rsidRPr="004B1B7D">
              <w:t xml:space="preserve">. </w:t>
            </w:r>
            <w:r w:rsidRPr="00DE73FC">
              <w:rPr>
                <w:lang w:eastAsia="zh-CN"/>
              </w:rPr>
              <w:t>Simultaneous GNSS and NTN NB-IoT/eMTC operation is not assumed</w:t>
            </w:r>
            <w:r w:rsidRPr="00EB2582">
              <w:rPr>
                <w:sz w:val="22"/>
                <w:szCs w:val="22"/>
                <w:lang w:eastAsia="zh-CN"/>
              </w:rPr>
              <w:t>.</w:t>
            </w:r>
            <w:r w:rsidRPr="006567CA">
              <w:t xml:space="preserve"> [RAN1</w:t>
            </w:r>
            <w:r>
              <w:t>, RAN2</w:t>
            </w:r>
            <w:r w:rsidRPr="006567CA">
              <w:t>]</w:t>
            </w:r>
          </w:p>
          <w:p w14:paraId="3CCE355C" w14:textId="77777777" w:rsidR="000C3674" w:rsidRPr="006567CA" w:rsidRDefault="000C3674" w:rsidP="000C3674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60"/>
              <w:ind w:left="1077" w:hanging="357"/>
              <w:textAlignment w:val="baseline"/>
            </w:pPr>
            <w:r w:rsidRPr="00B13C8F">
              <w:rPr>
                <w:i/>
              </w:rPr>
              <w:t>NOTE: The need for RAN4 Core requirements for this objective will be identified after the conclusion on the need for improvements.</w:t>
            </w:r>
          </w:p>
          <w:p w14:paraId="4DE1D5F3" w14:textId="77777777" w:rsidR="000C3674" w:rsidRDefault="000C3674" w:rsidP="000C3674">
            <w:pPr>
              <w:pStyle w:val="B1"/>
              <w:spacing w:after="60"/>
              <w:ind w:left="0" w:firstLine="0"/>
            </w:pPr>
          </w:p>
          <w:p w14:paraId="182A3B5E" w14:textId="19FC7408" w:rsidR="000C3674" w:rsidRDefault="000C3674" w:rsidP="000C3674">
            <w:pPr>
              <w:spacing w:after="60"/>
              <w:rPr>
                <w:bCs/>
              </w:rPr>
            </w:pPr>
            <w:r w:rsidRPr="00C46EE3">
              <w:rPr>
                <w:bCs/>
              </w:rPr>
              <w:t>4.1.</w:t>
            </w:r>
            <w:r>
              <w:rPr>
                <w:bCs/>
              </w:rPr>
              <w:t>2</w:t>
            </w:r>
            <w:r w:rsidRPr="00C46EE3">
              <w:rPr>
                <w:bCs/>
              </w:rPr>
              <w:tab/>
              <w:t>Mobility enhancements</w:t>
            </w:r>
          </w:p>
          <w:p w14:paraId="27343255" w14:textId="77777777" w:rsidR="000C3674" w:rsidRPr="00756D29" w:rsidRDefault="000C3674" w:rsidP="000C3674">
            <w:pPr>
              <w:spacing w:after="60"/>
            </w:pPr>
            <w:r w:rsidRPr="00756D29">
              <w:t>The following mobility enhancements objectives are listed.</w:t>
            </w:r>
          </w:p>
          <w:p w14:paraId="187BAEAA" w14:textId="77777777" w:rsidR="000C3674" w:rsidRDefault="000C3674" w:rsidP="000C3674">
            <w:pPr>
              <w:pStyle w:val="B1"/>
              <w:spacing w:after="60"/>
            </w:pPr>
            <w:r>
              <w:t>-</w:t>
            </w:r>
            <w:r>
              <w:tab/>
            </w:r>
            <w:r w:rsidRPr="00756D29">
              <w:t>Support of neighbo</w:t>
            </w:r>
            <w:r>
              <w:t>u</w:t>
            </w:r>
            <w:r w:rsidRPr="00756D29">
              <w:t>r cell measurements and corresponding measurement triggering before RLF, using Rel</w:t>
            </w:r>
            <w:r w:rsidRPr="00756D29">
              <w:noBreakHyphen/>
              <w:t>17 (TN) NB-IoT, eMTC as a baseline. [RAN2]</w:t>
            </w:r>
          </w:p>
          <w:p w14:paraId="5BE863AF" w14:textId="77777777" w:rsidR="000C3674" w:rsidRPr="00756D29" w:rsidRDefault="000C3674" w:rsidP="000C3674">
            <w:pPr>
              <w:pStyle w:val="B1"/>
              <w:spacing w:after="60"/>
            </w:pPr>
            <w:r>
              <w:t>-</w:t>
            </w:r>
            <w:r>
              <w:tab/>
              <w:t>Support signalling in system information of neighbour cell ephemeris, for eMTC and NB-IoT [RAN2]</w:t>
            </w:r>
          </w:p>
          <w:p w14:paraId="7D4505B0" w14:textId="77777777" w:rsidR="000C3674" w:rsidRDefault="000C3674" w:rsidP="000C3674">
            <w:pPr>
              <w:pStyle w:val="B1"/>
              <w:spacing w:after="60"/>
            </w:pPr>
            <w:r>
              <w:t>-</w:t>
            </w:r>
            <w:r>
              <w:tab/>
            </w:r>
            <w:r w:rsidRPr="00756D29">
              <w:t>Re-use the solutions introduced in Rel-17 NR NTN for mobility enhancements for eMTC, with minimum necessary changes to adapt them to eMTC [RAN2]</w:t>
            </w:r>
          </w:p>
          <w:p w14:paraId="5BF83E53" w14:textId="77777777" w:rsidR="000C3674" w:rsidRPr="00756D29" w:rsidRDefault="000C3674" w:rsidP="000C3674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/>
              <w:ind w:left="567" w:hanging="283"/>
              <w:textAlignment w:val="baseline"/>
            </w:pPr>
            <w:r>
              <w:t>Define UE RRM core requirements for the above mobility enhancement features [RAN4].</w:t>
            </w:r>
          </w:p>
          <w:p w14:paraId="5D7BED10" w14:textId="77777777" w:rsidR="000C3674" w:rsidRDefault="000C3674" w:rsidP="000C3674">
            <w:pPr>
              <w:spacing w:after="60"/>
              <w:rPr>
                <w:bCs/>
              </w:rPr>
            </w:pPr>
          </w:p>
          <w:p w14:paraId="764262C4" w14:textId="77777777" w:rsidR="000C3674" w:rsidRDefault="000C3674" w:rsidP="000C3674">
            <w:pPr>
              <w:spacing w:after="60"/>
            </w:pPr>
            <w:r w:rsidRPr="00756D29">
              <w:t>4.1.3</w:t>
            </w:r>
            <w:r w:rsidRPr="00756D29">
              <w:tab/>
              <w:t>Further enhancement to discontinuous coverage</w:t>
            </w:r>
          </w:p>
          <w:p w14:paraId="6BB493DC" w14:textId="1DA19A2F" w:rsidR="000C3674" w:rsidRDefault="000C3674" w:rsidP="000C3674">
            <w:pPr>
              <w:pStyle w:val="B1"/>
              <w:spacing w:after="60"/>
            </w:pPr>
            <w:r>
              <w:t>-</w:t>
            </w:r>
            <w:r>
              <w:tab/>
            </w:r>
            <w:r w:rsidRPr="00D13315">
              <w:t>Study and specify, if needed, mobility management enhancements and power saving enhancements for discontinuous coverage, t</w:t>
            </w:r>
            <w:r w:rsidRPr="0043105E">
              <w:t>aking in</w:t>
            </w:r>
            <w:r w:rsidRPr="00430A8D">
              <w:t xml:space="preserve">to account </w:t>
            </w:r>
            <w:r w:rsidRPr="00D13315">
              <w:t xml:space="preserve">the conclusions from the SA2 study </w:t>
            </w:r>
            <w:r w:rsidRPr="00430A8D">
              <w:t>FS_5GSAT_Ph2.</w:t>
            </w:r>
            <w:r w:rsidRPr="00D13315">
              <w:t xml:space="preserve">  [RAN2, RAN3].</w:t>
            </w:r>
          </w:p>
        </w:tc>
      </w:tr>
    </w:tbl>
    <w:p w14:paraId="79C025B9" w14:textId="5B741FB1" w:rsidR="00760805" w:rsidRDefault="00760805" w:rsidP="00F00A10"/>
    <w:p w14:paraId="50ACF2F5" w14:textId="20211D5D" w:rsidR="00216998" w:rsidRDefault="00760805" w:rsidP="00F00A10">
      <w:r>
        <w:t xml:space="preserve">In the contribution we focus on the highlighted aspects on other mobility enhancements related to IoT NTN. 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18A9977F" w14:textId="2FFF2CC8" w:rsidR="00E76419" w:rsidRPr="00216998" w:rsidRDefault="002F00A4" w:rsidP="00E76419">
      <w:pPr>
        <w:pStyle w:val="Heading2"/>
      </w:pPr>
      <w:r>
        <w:t xml:space="preserve">Enhancements to support </w:t>
      </w:r>
      <w:r w:rsidR="00E76419">
        <w:t>C</w:t>
      </w:r>
      <w:r>
        <w:t xml:space="preserve">onditional Handover for eMTC </w:t>
      </w:r>
    </w:p>
    <w:p w14:paraId="2201B3A7" w14:textId="66894516" w:rsidR="00216998" w:rsidRDefault="0087040B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Conditional handovers were introduced in NR and E-UTRAN in Rel-16. </w:t>
      </w:r>
      <w:r w:rsidR="001A3191">
        <w:rPr>
          <w:sz w:val="20"/>
        </w:rPr>
        <w:t>During the NR NTN R</w:t>
      </w:r>
      <w:r w:rsidR="00785614">
        <w:rPr>
          <w:sz w:val="20"/>
        </w:rPr>
        <w:t>el-16 Study item it was deemed to hav</w:t>
      </w:r>
      <w:r w:rsidR="001A3191">
        <w:rPr>
          <w:sz w:val="20"/>
        </w:rPr>
        <w:t>e great potential to enhance mobility in</w:t>
      </w:r>
      <w:r w:rsidR="00294376">
        <w:rPr>
          <w:sz w:val="20"/>
        </w:rPr>
        <w:t xml:space="preserve"> NTN. In NR NTN Rel-17 WI it was introduced </w:t>
      </w:r>
      <w:r w:rsidR="00785614">
        <w:rPr>
          <w:sz w:val="20"/>
        </w:rPr>
        <w:t>with a set of enhancements. In IoT NTN Rel-17 it was momentarily discussed, but questions whether supported arose and thus no enhancements were considered given the basic use case at the time. For Rel-18 the use case is</w:t>
      </w:r>
      <w:r w:rsidR="00C804CA">
        <w:rPr>
          <w:sz w:val="20"/>
        </w:rPr>
        <w:t xml:space="preserve"> to</w:t>
      </w:r>
      <w:r w:rsidR="00785614">
        <w:rPr>
          <w:sz w:val="20"/>
        </w:rPr>
        <w:t xml:space="preserve"> support longer connection times, where Conditional Handovers may greatly assist. </w:t>
      </w:r>
    </w:p>
    <w:p w14:paraId="120F9AF5" w14:textId="6763C85E" w:rsidR="00785614" w:rsidRDefault="00785614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lastRenderedPageBreak/>
        <w:t xml:space="preserve">The enhancements introduced for NR NTN were the following: </w:t>
      </w:r>
    </w:p>
    <w:p w14:paraId="7A0AB069" w14:textId="4A6B9C33" w:rsidR="00785614" w:rsidRDefault="00785614" w:rsidP="00785614">
      <w:pPr>
        <w:pStyle w:val="PatentBody"/>
        <w:numPr>
          <w:ilvl w:val="0"/>
          <w:numId w:val="9"/>
        </w:numPr>
        <w:spacing w:after="180" w:line="240" w:lineRule="auto"/>
        <w:jc w:val="both"/>
        <w:rPr>
          <w:sz w:val="20"/>
        </w:rPr>
      </w:pPr>
      <w:r w:rsidRPr="00A35562">
        <w:rPr>
          <w:b/>
          <w:sz w:val="20"/>
        </w:rPr>
        <w:t>Time-based CHO</w:t>
      </w:r>
      <w:r w:rsidR="00A35562">
        <w:rPr>
          <w:sz w:val="20"/>
        </w:rPr>
        <w:t xml:space="preserve"> – </w:t>
      </w:r>
      <w:r>
        <w:rPr>
          <w:sz w:val="20"/>
        </w:rPr>
        <w:t xml:space="preserve">This is used to trigger CHO to a cell based on the condition of the time being “larger” than a configure threshold. </w:t>
      </w:r>
      <w:r w:rsidR="00A35562">
        <w:rPr>
          <w:sz w:val="20"/>
        </w:rPr>
        <w:t xml:space="preserve">This was considered </w:t>
      </w:r>
      <w:r w:rsidR="00C804CA">
        <w:rPr>
          <w:sz w:val="20"/>
        </w:rPr>
        <w:t>e</w:t>
      </w:r>
      <w:r w:rsidR="00A35562">
        <w:rPr>
          <w:sz w:val="20"/>
        </w:rPr>
        <w:t>special</w:t>
      </w:r>
      <w:r w:rsidR="00C804CA">
        <w:rPr>
          <w:sz w:val="20"/>
        </w:rPr>
        <w:t>ly</w:t>
      </w:r>
      <w:r w:rsidR="00A35562">
        <w:rPr>
          <w:sz w:val="20"/>
        </w:rPr>
        <w:t xml:space="preserve"> useful in a LEO network where a network can configure CHO in the beginning of a connection and then have the handovers be “timed”. </w:t>
      </w:r>
      <w:r>
        <w:rPr>
          <w:sz w:val="20"/>
        </w:rPr>
        <w:t xml:space="preserve"> </w:t>
      </w:r>
    </w:p>
    <w:p w14:paraId="253E0EFB" w14:textId="7F35FC5D" w:rsidR="00785614" w:rsidRDefault="00785614" w:rsidP="00785614">
      <w:pPr>
        <w:pStyle w:val="PatentBody"/>
        <w:numPr>
          <w:ilvl w:val="0"/>
          <w:numId w:val="9"/>
        </w:numPr>
        <w:spacing w:after="180" w:line="240" w:lineRule="auto"/>
        <w:jc w:val="both"/>
        <w:rPr>
          <w:sz w:val="20"/>
        </w:rPr>
      </w:pPr>
      <w:r w:rsidRPr="005F5854">
        <w:rPr>
          <w:b/>
          <w:sz w:val="20"/>
        </w:rPr>
        <w:t>Location-based CHO</w:t>
      </w:r>
      <w:r>
        <w:rPr>
          <w:sz w:val="20"/>
        </w:rPr>
        <w:t xml:space="preserve"> – This is based on having two reference locations and comparing the distance to both reference locations. The condition is fulfilled when the distance to a first reference location is larger than a first threshold and when the distance to a second reference location is smaller than </w:t>
      </w:r>
      <w:r w:rsidR="005F5854">
        <w:rPr>
          <w:sz w:val="20"/>
        </w:rPr>
        <w:t xml:space="preserve">a second threshold. </w:t>
      </w:r>
    </w:p>
    <w:p w14:paraId="2FC445E0" w14:textId="37EB1733" w:rsidR="00785614" w:rsidRDefault="005F5854" w:rsidP="00785614">
      <w:pPr>
        <w:pStyle w:val="PatentBody"/>
        <w:numPr>
          <w:ilvl w:val="0"/>
          <w:numId w:val="9"/>
        </w:numPr>
        <w:spacing w:after="180" w:line="240" w:lineRule="auto"/>
        <w:jc w:val="both"/>
        <w:rPr>
          <w:sz w:val="20"/>
        </w:rPr>
      </w:pPr>
      <w:r w:rsidRPr="005F5854">
        <w:rPr>
          <w:b/>
          <w:sz w:val="20"/>
        </w:rPr>
        <w:t>CHO based on eventA4</w:t>
      </w:r>
      <w:r>
        <w:rPr>
          <w:sz w:val="20"/>
        </w:rPr>
        <w:t xml:space="preserve"> – </w:t>
      </w:r>
      <w:r w:rsidR="00347D9B">
        <w:rPr>
          <w:sz w:val="20"/>
        </w:rPr>
        <w:t xml:space="preserve">This was introduced for NTN as it would be useful to combine with the other introduced events. </w:t>
      </w:r>
    </w:p>
    <w:p w14:paraId="03488FD4" w14:textId="77777777" w:rsidR="005347CB" w:rsidRDefault="00DC5BBA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For both location-based and time-based events, they cannot be configured independently. </w:t>
      </w:r>
      <w:r w:rsidR="002F00A4">
        <w:rPr>
          <w:sz w:val="20"/>
        </w:rPr>
        <w:t xml:space="preserve">The above enhancements can be considered as baseline for eMTC. </w:t>
      </w:r>
      <w:r w:rsidR="00EA0A85">
        <w:rPr>
          <w:sz w:val="20"/>
        </w:rPr>
        <w:t xml:space="preserve">For eMTC we believe that the two most useful events are Time-based and eventA4. </w:t>
      </w:r>
    </w:p>
    <w:p w14:paraId="6CFB576B" w14:textId="391FAFDE" w:rsidR="005347CB" w:rsidRDefault="005347CB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In RAN2#</w:t>
      </w:r>
      <w:r w:rsidR="00B31F7E">
        <w:rPr>
          <w:sz w:val="20"/>
        </w:rPr>
        <w:t>119-e</w:t>
      </w:r>
      <w:r>
        <w:rPr>
          <w:sz w:val="20"/>
        </w:rPr>
        <w:t xml:space="preserve"> the following was agreed:</w:t>
      </w:r>
    </w:p>
    <w:p w14:paraId="4D5A207F" w14:textId="77777777" w:rsidR="00B31F7E" w:rsidRDefault="00B31F7E" w:rsidP="00B31F7E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CHO enhancements for eMTC NTN (i.e. time/timer based solution) are introduced based on the R17 NR NTN solution. FFS on location-based solution</w:t>
      </w:r>
    </w:p>
    <w:p w14:paraId="43DDCF63" w14:textId="2F69CF40" w:rsidR="005347CB" w:rsidRDefault="005347CB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09408C44" w14:textId="2025B236" w:rsidR="005347CB" w:rsidRDefault="005347CB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And then RAN2#</w:t>
      </w:r>
      <w:r w:rsidR="00B31F7E">
        <w:rPr>
          <w:sz w:val="20"/>
        </w:rPr>
        <w:t>119bis-e</w:t>
      </w:r>
      <w:r>
        <w:rPr>
          <w:sz w:val="20"/>
        </w:rPr>
        <w:t xml:space="preserve"> the following was agreed:</w:t>
      </w:r>
    </w:p>
    <w:p w14:paraId="3E91510C" w14:textId="77777777" w:rsidR="00B31F7E" w:rsidRDefault="00B31F7E" w:rsidP="00B3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7DEFCB8" w14:textId="77777777" w:rsidR="00B31F7E" w:rsidRDefault="00B31F7E" w:rsidP="00B31F7E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45DA">
        <w:t xml:space="preserve">For eMTC over NTN, </w:t>
      </w:r>
      <w:r>
        <w:t>for both earth-moving and earth-fixed cell scenarios</w:t>
      </w:r>
      <w:r w:rsidRPr="00C045DA">
        <w:t xml:space="preserve">, </w:t>
      </w:r>
      <w:r>
        <w:t xml:space="preserve">we </w:t>
      </w:r>
      <w:r w:rsidRPr="00C045DA">
        <w:t>introduce location based CHO triggering events</w:t>
      </w:r>
    </w:p>
    <w:p w14:paraId="7DC4D1EE" w14:textId="77777777" w:rsidR="00B31F7E" w:rsidRDefault="00B31F7E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29503A43" w14:textId="25762E45" w:rsidR="002F00A4" w:rsidRDefault="00B31F7E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Since both the location-based CHO and the time-based CHO has been agreed, the question is whether the eventA4 should be introduced. We believe that the event A4 can be used as a standalone event or combined with time-based CHO.</w:t>
      </w:r>
      <w:r w:rsidR="006158E3">
        <w:rPr>
          <w:sz w:val="20"/>
        </w:rPr>
        <w:t xml:space="preserve"> </w:t>
      </w:r>
      <w:r w:rsidR="00EA0A85">
        <w:rPr>
          <w:sz w:val="20"/>
        </w:rPr>
        <w:t>Thus we propose:</w:t>
      </w:r>
    </w:p>
    <w:p w14:paraId="3C525F70" w14:textId="47049F84" w:rsidR="002F00A4" w:rsidRDefault="002F00A4" w:rsidP="002F00A4">
      <w:pPr>
        <w:jc w:val="both"/>
        <w:rPr>
          <w:b/>
        </w:rPr>
      </w:pPr>
      <w:r>
        <w:rPr>
          <w:b/>
        </w:rPr>
        <w:t xml:space="preserve">Proposal 1: </w:t>
      </w:r>
      <w:r w:rsidR="00081A12">
        <w:rPr>
          <w:b/>
        </w:rPr>
        <w:t>I</w:t>
      </w:r>
      <w:r w:rsidR="00EA0A85">
        <w:rPr>
          <w:b/>
        </w:rPr>
        <w:t>ntroduce</w:t>
      </w:r>
      <w:r w:rsidR="00C804CA">
        <w:rPr>
          <w:b/>
        </w:rPr>
        <w:t xml:space="preserve"> CHO</w:t>
      </w:r>
      <w:r w:rsidR="003D1579">
        <w:rPr>
          <w:b/>
        </w:rPr>
        <w:t xml:space="preserve"> trigger</w:t>
      </w:r>
      <w:r w:rsidR="00C804CA">
        <w:rPr>
          <w:b/>
        </w:rPr>
        <w:t xml:space="preserve"> based on </w:t>
      </w:r>
      <w:r w:rsidR="00EA0A85">
        <w:rPr>
          <w:b/>
        </w:rPr>
        <w:t>event</w:t>
      </w:r>
      <w:r w:rsidR="00C804CA">
        <w:rPr>
          <w:b/>
        </w:rPr>
        <w:t xml:space="preserve"> </w:t>
      </w:r>
      <w:r w:rsidR="00EA0A85">
        <w:rPr>
          <w:b/>
        </w:rPr>
        <w:t>A4</w:t>
      </w:r>
      <w:r>
        <w:rPr>
          <w:b/>
        </w:rPr>
        <w:t>.</w:t>
      </w:r>
    </w:p>
    <w:p w14:paraId="0CA6E925" w14:textId="71C15954" w:rsidR="002F00A4" w:rsidRDefault="002F00A4" w:rsidP="008A092A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  <w:lang w:val="en-US"/>
        </w:rPr>
      </w:pPr>
      <w:r>
        <w:rPr>
          <w:sz w:val="20"/>
          <w:lang w:val="en-US"/>
        </w:rPr>
        <w:t>However, given the IoT NTN use case, there can be room for some simplifications or enhancements</w:t>
      </w:r>
      <w:r w:rsidR="000C4CAD">
        <w:rPr>
          <w:sz w:val="20"/>
          <w:lang w:val="en-US"/>
        </w:rPr>
        <w:t xml:space="preserve"> </w:t>
      </w:r>
      <w:r w:rsidR="006158E3">
        <w:rPr>
          <w:sz w:val="20"/>
          <w:lang w:val="en-US"/>
        </w:rPr>
        <w:t>compared to</w:t>
      </w:r>
      <w:r w:rsidR="000C4CAD">
        <w:rPr>
          <w:sz w:val="20"/>
          <w:lang w:val="en-US"/>
        </w:rPr>
        <w:t xml:space="preserve"> what was introduced for NR NTN</w:t>
      </w:r>
      <w:r>
        <w:rPr>
          <w:sz w:val="20"/>
          <w:lang w:val="en-US"/>
        </w:rPr>
        <w:t xml:space="preserve">. </w:t>
      </w:r>
      <w:r w:rsidR="001D4224">
        <w:rPr>
          <w:sz w:val="20"/>
          <w:lang w:val="en-US"/>
        </w:rPr>
        <w:t xml:space="preserve">One such enhancement that was mentioned in some of the contributions is that the conditional events may be configured independently. </w:t>
      </w:r>
      <w:r w:rsidR="00D107B7">
        <w:rPr>
          <w:sz w:val="20"/>
          <w:lang w:val="en-US"/>
        </w:rPr>
        <w:t xml:space="preserve">For IoT NTN this would make sense as the use case is not as demanding as that of NR NTN. Thus we propose that the events can be configured independently. </w:t>
      </w:r>
    </w:p>
    <w:p w14:paraId="5B21805C" w14:textId="19A5FE92" w:rsidR="009D2985" w:rsidRDefault="009D2985" w:rsidP="009D2985">
      <w:pPr>
        <w:jc w:val="both"/>
        <w:rPr>
          <w:b/>
        </w:rPr>
      </w:pPr>
      <w:r>
        <w:rPr>
          <w:b/>
        </w:rPr>
        <w:t xml:space="preserve">Proposal </w:t>
      </w:r>
      <w:r w:rsidR="005347CB">
        <w:rPr>
          <w:b/>
        </w:rPr>
        <w:t>2</w:t>
      </w:r>
      <w:r>
        <w:rPr>
          <w:b/>
        </w:rPr>
        <w:t xml:space="preserve">: </w:t>
      </w:r>
      <w:r w:rsidR="00BE1FD5">
        <w:rPr>
          <w:b/>
        </w:rPr>
        <w:t xml:space="preserve">Allow NTN CHO events to </w:t>
      </w:r>
      <w:r w:rsidR="003D1579">
        <w:rPr>
          <w:b/>
        </w:rPr>
        <w:t>trigger independently</w:t>
      </w:r>
      <w:r>
        <w:rPr>
          <w:b/>
        </w:rPr>
        <w:t>.</w:t>
      </w:r>
    </w:p>
    <w:p w14:paraId="72EAE7E3" w14:textId="0DCFDE70" w:rsidR="00466E1F" w:rsidRDefault="00466E1F" w:rsidP="008D61D6">
      <w:pPr>
        <w:rPr>
          <w:lang w:val="en-GB" w:eastAsia="en-US"/>
        </w:rPr>
      </w:pPr>
    </w:p>
    <w:p w14:paraId="1003C794" w14:textId="4CD29FA0" w:rsidR="00CD7B63" w:rsidRPr="00216998" w:rsidRDefault="00CB66BC" w:rsidP="00CD7B63">
      <w:pPr>
        <w:pStyle w:val="Heading2"/>
      </w:pPr>
      <w:r>
        <w:t>Performing mobility by releasing an NTN UE</w:t>
      </w:r>
    </w:p>
    <w:p w14:paraId="1C7F06BF" w14:textId="796B9238" w:rsidR="003726B5" w:rsidRDefault="004746FD" w:rsidP="008D61D6">
      <w:pPr>
        <w:rPr>
          <w:lang w:val="en-GB" w:eastAsia="en-US"/>
        </w:rPr>
      </w:pPr>
      <w:r>
        <w:rPr>
          <w:lang w:val="en-GB" w:eastAsia="en-US"/>
        </w:rPr>
        <w:t xml:space="preserve">For NB-IoT NTN, it is envisioned that mobility will be performed using RLF and re-establishment procedures. </w:t>
      </w:r>
      <w:r w:rsidR="00C66F72">
        <w:rPr>
          <w:lang w:val="en-GB" w:eastAsia="en-US"/>
        </w:rPr>
        <w:t>In other words, an NB-IoT UE will connect to a cell and if configured</w:t>
      </w:r>
      <w:r w:rsidR="00011489">
        <w:rPr>
          <w:lang w:val="en-GB" w:eastAsia="en-US"/>
        </w:rPr>
        <w:t>, the UE will</w:t>
      </w:r>
      <w:r w:rsidR="00C66F72">
        <w:rPr>
          <w:lang w:val="en-GB" w:eastAsia="en-US"/>
        </w:rPr>
        <w:t xml:space="preserve"> perform neigh</w:t>
      </w:r>
      <w:r w:rsidR="003762C0">
        <w:rPr>
          <w:lang w:val="en-GB" w:eastAsia="en-US"/>
        </w:rPr>
        <w:t>bour cell measurements. A</w:t>
      </w:r>
      <w:r w:rsidR="00C66F72">
        <w:rPr>
          <w:lang w:val="en-GB" w:eastAsia="en-US"/>
        </w:rPr>
        <w:t xml:space="preserve"> separa</w:t>
      </w:r>
      <w:r w:rsidR="00AE390A">
        <w:rPr>
          <w:lang w:val="en-GB" w:eastAsia="en-US"/>
        </w:rPr>
        <w:t>te way of performing mobility for</w:t>
      </w:r>
      <w:r w:rsidR="00C66F72">
        <w:rPr>
          <w:lang w:val="en-GB" w:eastAsia="en-US"/>
        </w:rPr>
        <w:t xml:space="preserve"> NB-IoT is if a network release</w:t>
      </w:r>
      <w:r w:rsidR="00AE390A">
        <w:rPr>
          <w:lang w:val="en-GB" w:eastAsia="en-US"/>
        </w:rPr>
        <w:t xml:space="preserve">s the UE and re-directs the UE. </w:t>
      </w:r>
      <w:r w:rsidR="003762C0">
        <w:rPr>
          <w:lang w:val="en-GB" w:eastAsia="en-US"/>
        </w:rPr>
        <w:t xml:space="preserve">This is likely to be the case in many for earth-fixed cells, especially if neighbour cell measurements are not supported by the UE. </w:t>
      </w:r>
      <w:r w:rsidR="00BE0AF3">
        <w:rPr>
          <w:lang w:val="en-GB" w:eastAsia="en-US"/>
        </w:rPr>
        <w:t xml:space="preserve">This is because performing an RLF procedure is likely to be a waste of time and UE power consumption. A figure of </w:t>
      </w:r>
      <w:r w:rsidR="00282901">
        <w:rPr>
          <w:lang w:val="en-GB" w:eastAsia="en-US"/>
        </w:rPr>
        <w:t>the difference between performing RLF based mobility and rel</w:t>
      </w:r>
      <w:r w:rsidR="00081A12">
        <w:rPr>
          <w:lang w:val="en-GB" w:eastAsia="en-US"/>
        </w:rPr>
        <w:t>e</w:t>
      </w:r>
      <w:r w:rsidR="00282901">
        <w:rPr>
          <w:lang w:val="en-GB" w:eastAsia="en-US"/>
        </w:rPr>
        <w:t>asing a UE in time</w:t>
      </w:r>
      <w:r w:rsidR="00BE0AF3">
        <w:rPr>
          <w:lang w:val="en-GB" w:eastAsia="en-US"/>
        </w:rPr>
        <w:t xml:space="preserve"> can be seen in Figure </w:t>
      </w:r>
      <w:r w:rsidR="00282901">
        <w:rPr>
          <w:lang w:val="en-GB" w:eastAsia="en-US"/>
        </w:rPr>
        <w:t>1</w:t>
      </w:r>
      <w:r w:rsidR="00BE0AF3">
        <w:rPr>
          <w:lang w:val="en-GB" w:eastAsia="en-US"/>
        </w:rPr>
        <w:t xml:space="preserve">. </w:t>
      </w:r>
    </w:p>
    <w:p w14:paraId="5EEE5836" w14:textId="77777777" w:rsidR="00011489" w:rsidRDefault="00011489" w:rsidP="008D61D6">
      <w:pPr>
        <w:rPr>
          <w:lang w:val="en-GB" w:eastAsia="en-US"/>
        </w:rPr>
      </w:pPr>
    </w:p>
    <w:p w14:paraId="3901C2FE" w14:textId="77777777" w:rsidR="00282901" w:rsidRDefault="00545713" w:rsidP="00282901">
      <w:pPr>
        <w:keepNext/>
      </w:pPr>
      <w:r>
        <w:rPr>
          <w:lang w:val="en-GB" w:eastAsia="en-US"/>
        </w:rPr>
        <w:pict w14:anchorId="37244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pt;height:262.75pt">
            <v:imagedata r:id="rId8" o:title="releasing a UE"/>
          </v:shape>
        </w:pict>
      </w:r>
    </w:p>
    <w:p w14:paraId="24652A23" w14:textId="5C9488D6" w:rsidR="00BE0AF3" w:rsidRPr="00282901" w:rsidRDefault="00282901" w:rsidP="00282901">
      <w:pPr>
        <w:pStyle w:val="Caption"/>
        <w:jc w:val="center"/>
        <w:rPr>
          <w:b/>
          <w:i w:val="0"/>
          <w:color w:val="auto"/>
          <w:lang w:val="en-GB" w:eastAsia="en-US"/>
        </w:rPr>
      </w:pPr>
      <w:r w:rsidRPr="00282901">
        <w:rPr>
          <w:b/>
          <w:i w:val="0"/>
          <w:color w:val="auto"/>
        </w:rPr>
        <w:t xml:space="preserve">Figure </w:t>
      </w:r>
      <w:r w:rsidRPr="00282901">
        <w:rPr>
          <w:b/>
          <w:i w:val="0"/>
          <w:color w:val="auto"/>
        </w:rPr>
        <w:fldChar w:fldCharType="begin"/>
      </w:r>
      <w:r w:rsidRPr="00282901">
        <w:rPr>
          <w:b/>
          <w:i w:val="0"/>
          <w:color w:val="auto"/>
        </w:rPr>
        <w:instrText xml:space="preserve"> SEQ Figure \* ARABIC </w:instrText>
      </w:r>
      <w:r w:rsidRPr="00282901">
        <w:rPr>
          <w:b/>
          <w:i w:val="0"/>
          <w:color w:val="auto"/>
        </w:rPr>
        <w:fldChar w:fldCharType="separate"/>
      </w:r>
      <w:r w:rsidRPr="00282901">
        <w:rPr>
          <w:b/>
          <w:i w:val="0"/>
          <w:noProof/>
          <w:color w:val="auto"/>
        </w:rPr>
        <w:t>1</w:t>
      </w:r>
      <w:r w:rsidRPr="00282901">
        <w:rPr>
          <w:b/>
          <w:i w:val="0"/>
          <w:color w:val="auto"/>
        </w:rPr>
        <w:fldChar w:fldCharType="end"/>
      </w:r>
      <w:r w:rsidRPr="00282901">
        <w:rPr>
          <w:b/>
          <w:i w:val="0"/>
          <w:color w:val="auto"/>
        </w:rPr>
        <w:t>. Difference between relying on a) RLF and re-establishment and b) releasing a UE.</w:t>
      </w:r>
    </w:p>
    <w:p w14:paraId="522F3DD1" w14:textId="071A9CFB" w:rsidR="003726B5" w:rsidRDefault="00282901" w:rsidP="008D61D6">
      <w:pPr>
        <w:rPr>
          <w:lang w:val="en-GB" w:eastAsia="en-US"/>
        </w:rPr>
      </w:pPr>
      <w:r>
        <w:rPr>
          <w:lang w:val="en-GB" w:eastAsia="en-US"/>
        </w:rPr>
        <w:t xml:space="preserve">To make sure that mobility functions well in an earth-fixed scenario, we suggest that RAN2 considers the possibility of using RRC Connection Release to perform mobility. </w:t>
      </w:r>
    </w:p>
    <w:p w14:paraId="3D28A5EE" w14:textId="1023F7AA" w:rsidR="003726B5" w:rsidRPr="004977B3" w:rsidRDefault="003726B5" w:rsidP="003726B5">
      <w:pPr>
        <w:jc w:val="both"/>
        <w:rPr>
          <w:b/>
        </w:rPr>
      </w:pPr>
      <w:r>
        <w:rPr>
          <w:b/>
        </w:rPr>
        <w:t xml:space="preserve">Proposal </w:t>
      </w:r>
      <w:r w:rsidR="00B31F7E">
        <w:rPr>
          <w:b/>
        </w:rPr>
        <w:t>3</w:t>
      </w:r>
      <w:r>
        <w:rPr>
          <w:b/>
        </w:rPr>
        <w:t xml:space="preserve">: </w:t>
      </w:r>
      <w:r w:rsidR="00685348">
        <w:rPr>
          <w:b/>
        </w:rPr>
        <w:t>RAN2 to consider enabling NB-IoT mobility using RRC release in an earth-fixed scenario</w:t>
      </w:r>
      <w:r>
        <w:rPr>
          <w:b/>
        </w:rPr>
        <w:t>.</w:t>
      </w:r>
    </w:p>
    <w:p w14:paraId="17891458" w14:textId="2ED567F4" w:rsidR="00216998" w:rsidRPr="00216998" w:rsidRDefault="00216998" w:rsidP="00216998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6B206649" w14:textId="3A6328AE" w:rsidR="00C060FE" w:rsidRPr="00F97E01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>
        <w:rPr>
          <w:lang w:eastAsia="ko-KR"/>
        </w:rPr>
        <w:t xml:space="preserve">issues </w:t>
      </w:r>
      <w:r w:rsidR="00EB348E">
        <w:rPr>
          <w:lang w:eastAsia="ko-KR"/>
        </w:rPr>
        <w:t>related to other mobility enhancements for</w:t>
      </w:r>
      <w:r w:rsidR="00944EC6">
        <w:rPr>
          <w:lang w:eastAsia="ko-KR"/>
        </w:rPr>
        <w:t xml:space="preserve"> NTN. </w:t>
      </w:r>
    </w:p>
    <w:p w14:paraId="5FD37BE7" w14:textId="77777777" w:rsidR="008F48C6" w:rsidRDefault="008F48C6" w:rsidP="008F48C6">
      <w:pPr>
        <w:jc w:val="both"/>
        <w:rPr>
          <w:b/>
        </w:rPr>
      </w:pPr>
      <w:r>
        <w:rPr>
          <w:b/>
        </w:rPr>
        <w:t>Proposal 1: Introduce CHO trigger based on event A4.</w:t>
      </w:r>
    </w:p>
    <w:p w14:paraId="2ED22546" w14:textId="77777777" w:rsidR="008F48C6" w:rsidRDefault="008F48C6" w:rsidP="008F48C6">
      <w:pPr>
        <w:jc w:val="both"/>
        <w:rPr>
          <w:b/>
        </w:rPr>
      </w:pPr>
      <w:r>
        <w:rPr>
          <w:b/>
        </w:rPr>
        <w:t>Proposal 2: Allow NTN CHO events to trigger independently.</w:t>
      </w:r>
    </w:p>
    <w:p w14:paraId="6B2543BF" w14:textId="77777777" w:rsidR="008F48C6" w:rsidRPr="004977B3" w:rsidRDefault="008F48C6" w:rsidP="008F48C6">
      <w:pPr>
        <w:jc w:val="both"/>
        <w:rPr>
          <w:b/>
        </w:rPr>
      </w:pPr>
      <w:r>
        <w:rPr>
          <w:b/>
        </w:rPr>
        <w:t>Proposal 3: RAN2 to consider enabling NB-IoT mobility using RRC release in an earth-fixed scenario.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509A3F24" w14:textId="77777777" w:rsidR="005C0CD8" w:rsidRPr="00D32165" w:rsidRDefault="005C0CD8" w:rsidP="005C0CD8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RP-213596, New WID on IoT NTN enhancements, Mediatek Inc., RAN#94-e, December 2021</w:t>
      </w:r>
    </w:p>
    <w:p w14:paraId="487537F2" w14:textId="77777777" w:rsidR="005C0CD8" w:rsidRPr="005525D5" w:rsidRDefault="005C0CD8" w:rsidP="005C0CD8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RP-223519, Revised WID on IoT NTN enhancements, Mediatek Inc., RAN#98-e, December 2022</w:t>
      </w:r>
    </w:p>
    <w:p w14:paraId="53F02005" w14:textId="77777777" w:rsidR="005C0CD8" w:rsidRPr="007522E2" w:rsidRDefault="005C0CD8" w:rsidP="005C0CD8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 xml:space="preserve">RAN#120-e Chairman’s notes. </w:t>
      </w:r>
    </w:p>
    <w:p w14:paraId="5723E6BD" w14:textId="1757C165" w:rsidR="0004383E" w:rsidRDefault="0004383E" w:rsidP="0004383E">
      <w:pPr>
        <w:rPr>
          <w:lang w:val="en-GB" w:eastAsia="en-US"/>
        </w:rPr>
      </w:pPr>
    </w:p>
    <w:p w14:paraId="1CA30647" w14:textId="35348951" w:rsidR="0004383E" w:rsidRDefault="0004383E" w:rsidP="0004383E">
      <w:pPr>
        <w:rPr>
          <w:lang w:val="en-GB" w:eastAsia="en-US"/>
        </w:rPr>
      </w:pPr>
    </w:p>
    <w:p w14:paraId="3E9EBAE4" w14:textId="77777777" w:rsidR="0087040B" w:rsidRPr="0087040B" w:rsidRDefault="0087040B" w:rsidP="0004383E">
      <w:pPr>
        <w:rPr>
          <w:lang w:val="en-GB" w:eastAsia="en-US"/>
        </w:rPr>
      </w:pPr>
    </w:p>
    <w:sectPr w:rsidR="0087040B" w:rsidRPr="0087040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B34FE" w14:textId="77777777" w:rsidR="00EE5AAD" w:rsidRDefault="00EE5AAD" w:rsidP="00051DF8">
      <w:r>
        <w:separator/>
      </w:r>
    </w:p>
  </w:endnote>
  <w:endnote w:type="continuationSeparator" w:id="0">
    <w:p w14:paraId="7E3AB694" w14:textId="77777777" w:rsidR="00EE5AAD" w:rsidRDefault="00EE5AAD" w:rsidP="00051DF8">
      <w:r>
        <w:continuationSeparator/>
      </w:r>
    </w:p>
  </w:endnote>
  <w:endnote w:type="continuationNotice" w:id="1">
    <w:p w14:paraId="6BA8B716" w14:textId="77777777" w:rsidR="00EE5AAD" w:rsidRDefault="00EE5AA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296AA" w14:textId="77777777" w:rsidR="00EE5AAD" w:rsidRDefault="00EE5AAD" w:rsidP="00051DF8">
      <w:r>
        <w:separator/>
      </w:r>
    </w:p>
  </w:footnote>
  <w:footnote w:type="continuationSeparator" w:id="0">
    <w:p w14:paraId="0AF6E343" w14:textId="77777777" w:rsidR="00EE5AAD" w:rsidRDefault="00EE5AAD" w:rsidP="00051DF8">
      <w:r>
        <w:continuationSeparator/>
      </w:r>
    </w:p>
  </w:footnote>
  <w:footnote w:type="continuationNotice" w:id="1">
    <w:p w14:paraId="108D2BDE" w14:textId="77777777" w:rsidR="00EE5AAD" w:rsidRDefault="00EE5AA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086632"/>
    <w:multiLevelType w:val="hybridMultilevel"/>
    <w:tmpl w:val="5860B424"/>
    <w:lvl w:ilvl="0" w:tplc="8BF49F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1886"/>
    <w:rsid w:val="00002263"/>
    <w:rsid w:val="000038B6"/>
    <w:rsid w:val="00007761"/>
    <w:rsid w:val="00007CAB"/>
    <w:rsid w:val="00011489"/>
    <w:rsid w:val="0001163B"/>
    <w:rsid w:val="00011C8D"/>
    <w:rsid w:val="00013CDB"/>
    <w:rsid w:val="00013F5D"/>
    <w:rsid w:val="00014BC5"/>
    <w:rsid w:val="000153CC"/>
    <w:rsid w:val="00015950"/>
    <w:rsid w:val="000162E9"/>
    <w:rsid w:val="000163E2"/>
    <w:rsid w:val="00016554"/>
    <w:rsid w:val="00016557"/>
    <w:rsid w:val="00022927"/>
    <w:rsid w:val="0002299F"/>
    <w:rsid w:val="00023C40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383E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6D4"/>
    <w:rsid w:val="00071C4F"/>
    <w:rsid w:val="00072646"/>
    <w:rsid w:val="00073C9C"/>
    <w:rsid w:val="0007792A"/>
    <w:rsid w:val="00080512"/>
    <w:rsid w:val="00081240"/>
    <w:rsid w:val="00081A12"/>
    <w:rsid w:val="0008378E"/>
    <w:rsid w:val="00085269"/>
    <w:rsid w:val="00090468"/>
    <w:rsid w:val="00090CD4"/>
    <w:rsid w:val="000914AC"/>
    <w:rsid w:val="00094568"/>
    <w:rsid w:val="00094C6B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2B2C"/>
    <w:rsid w:val="000C3674"/>
    <w:rsid w:val="000C4CAD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04660"/>
    <w:rsid w:val="0010781D"/>
    <w:rsid w:val="00112AE8"/>
    <w:rsid w:val="00112F1A"/>
    <w:rsid w:val="0012049E"/>
    <w:rsid w:val="00123AC6"/>
    <w:rsid w:val="00124DD4"/>
    <w:rsid w:val="0012502C"/>
    <w:rsid w:val="00126400"/>
    <w:rsid w:val="00130A42"/>
    <w:rsid w:val="001311DA"/>
    <w:rsid w:val="00131BCA"/>
    <w:rsid w:val="0013373E"/>
    <w:rsid w:val="0013585C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655"/>
    <w:rsid w:val="00183778"/>
    <w:rsid w:val="001841BF"/>
    <w:rsid w:val="001845D5"/>
    <w:rsid w:val="0018515E"/>
    <w:rsid w:val="00185BC1"/>
    <w:rsid w:val="00186138"/>
    <w:rsid w:val="00186370"/>
    <w:rsid w:val="00190972"/>
    <w:rsid w:val="00191EFD"/>
    <w:rsid w:val="001920E7"/>
    <w:rsid w:val="001921CE"/>
    <w:rsid w:val="00194515"/>
    <w:rsid w:val="00194CD0"/>
    <w:rsid w:val="0019500E"/>
    <w:rsid w:val="001962AF"/>
    <w:rsid w:val="00197FF3"/>
    <w:rsid w:val="001A18D7"/>
    <w:rsid w:val="001A3191"/>
    <w:rsid w:val="001B1BDE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4224"/>
    <w:rsid w:val="001D6647"/>
    <w:rsid w:val="001F168B"/>
    <w:rsid w:val="001F7831"/>
    <w:rsid w:val="002013CD"/>
    <w:rsid w:val="00204045"/>
    <w:rsid w:val="0020712B"/>
    <w:rsid w:val="0021231D"/>
    <w:rsid w:val="00212942"/>
    <w:rsid w:val="00214804"/>
    <w:rsid w:val="00216876"/>
    <w:rsid w:val="00216998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6A7"/>
    <w:rsid w:val="00234C99"/>
    <w:rsid w:val="0023661D"/>
    <w:rsid w:val="0024324A"/>
    <w:rsid w:val="00243DE1"/>
    <w:rsid w:val="00244A05"/>
    <w:rsid w:val="002455B8"/>
    <w:rsid w:val="00247550"/>
    <w:rsid w:val="00250404"/>
    <w:rsid w:val="00250645"/>
    <w:rsid w:val="002508F7"/>
    <w:rsid w:val="0025613A"/>
    <w:rsid w:val="00260EC0"/>
    <w:rsid w:val="002610D8"/>
    <w:rsid w:val="00266AF5"/>
    <w:rsid w:val="00266D49"/>
    <w:rsid w:val="002675D3"/>
    <w:rsid w:val="002709D8"/>
    <w:rsid w:val="00270A2B"/>
    <w:rsid w:val="002747EC"/>
    <w:rsid w:val="002815C0"/>
    <w:rsid w:val="00282901"/>
    <w:rsid w:val="00283F62"/>
    <w:rsid w:val="002840C7"/>
    <w:rsid w:val="00284E78"/>
    <w:rsid w:val="002855BF"/>
    <w:rsid w:val="00287326"/>
    <w:rsid w:val="00290336"/>
    <w:rsid w:val="00292EB4"/>
    <w:rsid w:val="00292FC9"/>
    <w:rsid w:val="00294376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5F1"/>
    <w:rsid w:val="002B3F8E"/>
    <w:rsid w:val="002B44B8"/>
    <w:rsid w:val="002C260C"/>
    <w:rsid w:val="002C69AA"/>
    <w:rsid w:val="002D093F"/>
    <w:rsid w:val="002D2C29"/>
    <w:rsid w:val="002D2CA2"/>
    <w:rsid w:val="002D657A"/>
    <w:rsid w:val="002E246F"/>
    <w:rsid w:val="002E26C0"/>
    <w:rsid w:val="002E79BB"/>
    <w:rsid w:val="002F00A4"/>
    <w:rsid w:val="002F0D22"/>
    <w:rsid w:val="002F12A5"/>
    <w:rsid w:val="002F244D"/>
    <w:rsid w:val="002F3DF3"/>
    <w:rsid w:val="0030563B"/>
    <w:rsid w:val="00305DAA"/>
    <w:rsid w:val="00306241"/>
    <w:rsid w:val="003073B9"/>
    <w:rsid w:val="003105EB"/>
    <w:rsid w:val="00310D9A"/>
    <w:rsid w:val="00311B17"/>
    <w:rsid w:val="003133F1"/>
    <w:rsid w:val="003172DC"/>
    <w:rsid w:val="0032086B"/>
    <w:rsid w:val="003211D6"/>
    <w:rsid w:val="00323D2C"/>
    <w:rsid w:val="003243BA"/>
    <w:rsid w:val="00324E66"/>
    <w:rsid w:val="003255FD"/>
    <w:rsid w:val="00325AE3"/>
    <w:rsid w:val="00326069"/>
    <w:rsid w:val="00327E5D"/>
    <w:rsid w:val="00331565"/>
    <w:rsid w:val="00333345"/>
    <w:rsid w:val="00335A5E"/>
    <w:rsid w:val="00337559"/>
    <w:rsid w:val="00337C3B"/>
    <w:rsid w:val="00343335"/>
    <w:rsid w:val="00343806"/>
    <w:rsid w:val="003463C4"/>
    <w:rsid w:val="00347B20"/>
    <w:rsid w:val="00347D9B"/>
    <w:rsid w:val="00350D7C"/>
    <w:rsid w:val="00351CAD"/>
    <w:rsid w:val="00353629"/>
    <w:rsid w:val="0035462D"/>
    <w:rsid w:val="00354B33"/>
    <w:rsid w:val="00363968"/>
    <w:rsid w:val="0036459E"/>
    <w:rsid w:val="00364B41"/>
    <w:rsid w:val="003667FF"/>
    <w:rsid w:val="003676CB"/>
    <w:rsid w:val="00370943"/>
    <w:rsid w:val="003724CA"/>
    <w:rsid w:val="003726B5"/>
    <w:rsid w:val="00374847"/>
    <w:rsid w:val="00376209"/>
    <w:rsid w:val="003762C0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633"/>
    <w:rsid w:val="00390D6B"/>
    <w:rsid w:val="0039346C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1579"/>
    <w:rsid w:val="003D3519"/>
    <w:rsid w:val="003D4028"/>
    <w:rsid w:val="003D4B16"/>
    <w:rsid w:val="003E01A2"/>
    <w:rsid w:val="003E136B"/>
    <w:rsid w:val="003E16BE"/>
    <w:rsid w:val="003E17A4"/>
    <w:rsid w:val="003E676B"/>
    <w:rsid w:val="003E7831"/>
    <w:rsid w:val="003F11FC"/>
    <w:rsid w:val="003F24B6"/>
    <w:rsid w:val="003F2920"/>
    <w:rsid w:val="003F3214"/>
    <w:rsid w:val="003F4E28"/>
    <w:rsid w:val="003F7CC9"/>
    <w:rsid w:val="004006E8"/>
    <w:rsid w:val="00401855"/>
    <w:rsid w:val="0040228D"/>
    <w:rsid w:val="0040702D"/>
    <w:rsid w:val="00413F2F"/>
    <w:rsid w:val="00414017"/>
    <w:rsid w:val="004174EF"/>
    <w:rsid w:val="0042280C"/>
    <w:rsid w:val="00427D3B"/>
    <w:rsid w:val="00431669"/>
    <w:rsid w:val="004322B3"/>
    <w:rsid w:val="00432BC9"/>
    <w:rsid w:val="00432BE2"/>
    <w:rsid w:val="00432F4A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6E1F"/>
    <w:rsid w:val="0046720C"/>
    <w:rsid w:val="0047086C"/>
    <w:rsid w:val="004746FD"/>
    <w:rsid w:val="00477252"/>
    <w:rsid w:val="00477455"/>
    <w:rsid w:val="004779FB"/>
    <w:rsid w:val="00487060"/>
    <w:rsid w:val="004901A6"/>
    <w:rsid w:val="00490325"/>
    <w:rsid w:val="00490C92"/>
    <w:rsid w:val="004937F8"/>
    <w:rsid w:val="00493A0E"/>
    <w:rsid w:val="0049775E"/>
    <w:rsid w:val="004977B3"/>
    <w:rsid w:val="004A10EE"/>
    <w:rsid w:val="004A1F7B"/>
    <w:rsid w:val="004A3412"/>
    <w:rsid w:val="004A34B4"/>
    <w:rsid w:val="004A34E6"/>
    <w:rsid w:val="004A40FB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DCD"/>
    <w:rsid w:val="004C44D2"/>
    <w:rsid w:val="004C6EF6"/>
    <w:rsid w:val="004D12EF"/>
    <w:rsid w:val="004D3578"/>
    <w:rsid w:val="004D380D"/>
    <w:rsid w:val="004D4335"/>
    <w:rsid w:val="004D6C16"/>
    <w:rsid w:val="004D6FD4"/>
    <w:rsid w:val="004D7B60"/>
    <w:rsid w:val="004E213A"/>
    <w:rsid w:val="004E4C70"/>
    <w:rsid w:val="004E4E09"/>
    <w:rsid w:val="004F10E9"/>
    <w:rsid w:val="004F1E7F"/>
    <w:rsid w:val="004F3ADA"/>
    <w:rsid w:val="004F4540"/>
    <w:rsid w:val="004F73A7"/>
    <w:rsid w:val="004F7C51"/>
    <w:rsid w:val="004F7EB5"/>
    <w:rsid w:val="00501D49"/>
    <w:rsid w:val="00503171"/>
    <w:rsid w:val="00503CB5"/>
    <w:rsid w:val="00506C28"/>
    <w:rsid w:val="005075B6"/>
    <w:rsid w:val="005134A6"/>
    <w:rsid w:val="005154AF"/>
    <w:rsid w:val="00516A0D"/>
    <w:rsid w:val="005179DA"/>
    <w:rsid w:val="005214BC"/>
    <w:rsid w:val="00524A37"/>
    <w:rsid w:val="00527C31"/>
    <w:rsid w:val="00527F2A"/>
    <w:rsid w:val="00531FAA"/>
    <w:rsid w:val="005347CB"/>
    <w:rsid w:val="00534DA0"/>
    <w:rsid w:val="00535EC5"/>
    <w:rsid w:val="00536A0E"/>
    <w:rsid w:val="00537568"/>
    <w:rsid w:val="00542000"/>
    <w:rsid w:val="00543E6C"/>
    <w:rsid w:val="00545713"/>
    <w:rsid w:val="0054761B"/>
    <w:rsid w:val="00547A10"/>
    <w:rsid w:val="00547C85"/>
    <w:rsid w:val="00551763"/>
    <w:rsid w:val="005525D5"/>
    <w:rsid w:val="0055422F"/>
    <w:rsid w:val="005545EE"/>
    <w:rsid w:val="00557338"/>
    <w:rsid w:val="005625DD"/>
    <w:rsid w:val="005642A1"/>
    <w:rsid w:val="00565087"/>
    <w:rsid w:val="0056573F"/>
    <w:rsid w:val="0056656C"/>
    <w:rsid w:val="00571279"/>
    <w:rsid w:val="00572564"/>
    <w:rsid w:val="00572895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0344"/>
    <w:rsid w:val="00591E74"/>
    <w:rsid w:val="0059328F"/>
    <w:rsid w:val="00594B6F"/>
    <w:rsid w:val="00595AAB"/>
    <w:rsid w:val="00596097"/>
    <w:rsid w:val="00596B5D"/>
    <w:rsid w:val="005A4665"/>
    <w:rsid w:val="005A49C6"/>
    <w:rsid w:val="005A4D6D"/>
    <w:rsid w:val="005A68D5"/>
    <w:rsid w:val="005A6CA2"/>
    <w:rsid w:val="005B598B"/>
    <w:rsid w:val="005C007C"/>
    <w:rsid w:val="005C0359"/>
    <w:rsid w:val="005C0CD8"/>
    <w:rsid w:val="005C1A18"/>
    <w:rsid w:val="005C2F10"/>
    <w:rsid w:val="005C4665"/>
    <w:rsid w:val="005C4726"/>
    <w:rsid w:val="005C64F2"/>
    <w:rsid w:val="005C76A8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5F2403"/>
    <w:rsid w:val="005F5854"/>
    <w:rsid w:val="005F5FC6"/>
    <w:rsid w:val="0060107D"/>
    <w:rsid w:val="00601EDF"/>
    <w:rsid w:val="00601F46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50D4"/>
    <w:rsid w:val="006158E3"/>
    <w:rsid w:val="006160D7"/>
    <w:rsid w:val="00622FDA"/>
    <w:rsid w:val="00624813"/>
    <w:rsid w:val="00624C07"/>
    <w:rsid w:val="0062582C"/>
    <w:rsid w:val="00625B0A"/>
    <w:rsid w:val="00632396"/>
    <w:rsid w:val="006326D4"/>
    <w:rsid w:val="00635845"/>
    <w:rsid w:val="00640307"/>
    <w:rsid w:val="00646D99"/>
    <w:rsid w:val="006479C4"/>
    <w:rsid w:val="006504D6"/>
    <w:rsid w:val="00650567"/>
    <w:rsid w:val="006510E9"/>
    <w:rsid w:val="00652B9E"/>
    <w:rsid w:val="00653358"/>
    <w:rsid w:val="006541A1"/>
    <w:rsid w:val="00654596"/>
    <w:rsid w:val="00655298"/>
    <w:rsid w:val="00656910"/>
    <w:rsid w:val="00656E05"/>
    <w:rsid w:val="006574C0"/>
    <w:rsid w:val="00657CA6"/>
    <w:rsid w:val="0066096B"/>
    <w:rsid w:val="006662B7"/>
    <w:rsid w:val="00670C14"/>
    <w:rsid w:val="00672522"/>
    <w:rsid w:val="00674D79"/>
    <w:rsid w:val="0067758B"/>
    <w:rsid w:val="0067783E"/>
    <w:rsid w:val="00677F5B"/>
    <w:rsid w:val="00682BF2"/>
    <w:rsid w:val="00685348"/>
    <w:rsid w:val="006854C3"/>
    <w:rsid w:val="00690ED2"/>
    <w:rsid w:val="00694F59"/>
    <w:rsid w:val="00696821"/>
    <w:rsid w:val="006A19A8"/>
    <w:rsid w:val="006A1A2B"/>
    <w:rsid w:val="006A242E"/>
    <w:rsid w:val="006A416F"/>
    <w:rsid w:val="006A4A4B"/>
    <w:rsid w:val="006B2C4A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AE6"/>
    <w:rsid w:val="006F0B09"/>
    <w:rsid w:val="006F69EC"/>
    <w:rsid w:val="006F6A2C"/>
    <w:rsid w:val="00701323"/>
    <w:rsid w:val="00705BC0"/>
    <w:rsid w:val="007069DC"/>
    <w:rsid w:val="00710201"/>
    <w:rsid w:val="007102CD"/>
    <w:rsid w:val="00710D4C"/>
    <w:rsid w:val="0071194B"/>
    <w:rsid w:val="007129D3"/>
    <w:rsid w:val="00713E60"/>
    <w:rsid w:val="0072073A"/>
    <w:rsid w:val="00721D97"/>
    <w:rsid w:val="00723B0B"/>
    <w:rsid w:val="00724F42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2288"/>
    <w:rsid w:val="00744E76"/>
    <w:rsid w:val="00745AC8"/>
    <w:rsid w:val="007469FD"/>
    <w:rsid w:val="007522E2"/>
    <w:rsid w:val="0075287B"/>
    <w:rsid w:val="00753B28"/>
    <w:rsid w:val="00754EB6"/>
    <w:rsid w:val="00756E85"/>
    <w:rsid w:val="00757D40"/>
    <w:rsid w:val="00760805"/>
    <w:rsid w:val="00761926"/>
    <w:rsid w:val="0076307D"/>
    <w:rsid w:val="0076607C"/>
    <w:rsid w:val="007662B5"/>
    <w:rsid w:val="0077466B"/>
    <w:rsid w:val="00774940"/>
    <w:rsid w:val="0077751F"/>
    <w:rsid w:val="007778A0"/>
    <w:rsid w:val="00781472"/>
    <w:rsid w:val="00781F0F"/>
    <w:rsid w:val="00782664"/>
    <w:rsid w:val="007848CB"/>
    <w:rsid w:val="0078534D"/>
    <w:rsid w:val="00785614"/>
    <w:rsid w:val="007864E8"/>
    <w:rsid w:val="0078727C"/>
    <w:rsid w:val="00787719"/>
    <w:rsid w:val="0079049D"/>
    <w:rsid w:val="00792C78"/>
    <w:rsid w:val="007933A9"/>
    <w:rsid w:val="00793B9D"/>
    <w:rsid w:val="00793DC5"/>
    <w:rsid w:val="00794B9A"/>
    <w:rsid w:val="00796823"/>
    <w:rsid w:val="00797AA0"/>
    <w:rsid w:val="007A2E55"/>
    <w:rsid w:val="007A3137"/>
    <w:rsid w:val="007A7099"/>
    <w:rsid w:val="007B09F5"/>
    <w:rsid w:val="007B18D8"/>
    <w:rsid w:val="007B2202"/>
    <w:rsid w:val="007B2A65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2A9D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199"/>
    <w:rsid w:val="00800B57"/>
    <w:rsid w:val="008028A4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3379"/>
    <w:rsid w:val="0083484D"/>
    <w:rsid w:val="008350FE"/>
    <w:rsid w:val="008378CB"/>
    <w:rsid w:val="0084067A"/>
    <w:rsid w:val="00840DE0"/>
    <w:rsid w:val="00842FBC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040B"/>
    <w:rsid w:val="008732D6"/>
    <w:rsid w:val="00875EB1"/>
    <w:rsid w:val="008768CA"/>
    <w:rsid w:val="00877EF9"/>
    <w:rsid w:val="00880559"/>
    <w:rsid w:val="008818E2"/>
    <w:rsid w:val="00882533"/>
    <w:rsid w:val="008837E2"/>
    <w:rsid w:val="008849F5"/>
    <w:rsid w:val="00890D75"/>
    <w:rsid w:val="00892166"/>
    <w:rsid w:val="00892D9D"/>
    <w:rsid w:val="00895A0B"/>
    <w:rsid w:val="00895FC5"/>
    <w:rsid w:val="00896CB6"/>
    <w:rsid w:val="008A092A"/>
    <w:rsid w:val="008A2511"/>
    <w:rsid w:val="008B3C42"/>
    <w:rsid w:val="008B5306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61D6"/>
    <w:rsid w:val="008D6817"/>
    <w:rsid w:val="008E0988"/>
    <w:rsid w:val="008E4AF8"/>
    <w:rsid w:val="008F396F"/>
    <w:rsid w:val="008F3DCD"/>
    <w:rsid w:val="008F48C6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601D"/>
    <w:rsid w:val="0092610E"/>
    <w:rsid w:val="009322D7"/>
    <w:rsid w:val="00936071"/>
    <w:rsid w:val="009376AF"/>
    <w:rsid w:val="009376CD"/>
    <w:rsid w:val="00940212"/>
    <w:rsid w:val="009428FC"/>
    <w:rsid w:val="00942EC2"/>
    <w:rsid w:val="00944EC6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3FFE"/>
    <w:rsid w:val="00986B60"/>
    <w:rsid w:val="0099153D"/>
    <w:rsid w:val="009928A9"/>
    <w:rsid w:val="009932BF"/>
    <w:rsid w:val="00995D8C"/>
    <w:rsid w:val="00997F2F"/>
    <w:rsid w:val="00997FAD"/>
    <w:rsid w:val="009A07BF"/>
    <w:rsid w:val="009A0AF3"/>
    <w:rsid w:val="009A2EEE"/>
    <w:rsid w:val="009A4931"/>
    <w:rsid w:val="009A5858"/>
    <w:rsid w:val="009A642A"/>
    <w:rsid w:val="009B07CD"/>
    <w:rsid w:val="009B13FA"/>
    <w:rsid w:val="009B26F6"/>
    <w:rsid w:val="009B647D"/>
    <w:rsid w:val="009B7B06"/>
    <w:rsid w:val="009C19E9"/>
    <w:rsid w:val="009C40BB"/>
    <w:rsid w:val="009D2985"/>
    <w:rsid w:val="009D5A5D"/>
    <w:rsid w:val="009D7467"/>
    <w:rsid w:val="009D74A6"/>
    <w:rsid w:val="009E0B98"/>
    <w:rsid w:val="009E0E87"/>
    <w:rsid w:val="009E2DC5"/>
    <w:rsid w:val="009E55AC"/>
    <w:rsid w:val="009E7EC4"/>
    <w:rsid w:val="009F2CB9"/>
    <w:rsid w:val="009F3043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47E3"/>
    <w:rsid w:val="00A255A1"/>
    <w:rsid w:val="00A27DC6"/>
    <w:rsid w:val="00A31B24"/>
    <w:rsid w:val="00A33876"/>
    <w:rsid w:val="00A33FE1"/>
    <w:rsid w:val="00A35562"/>
    <w:rsid w:val="00A409FF"/>
    <w:rsid w:val="00A41829"/>
    <w:rsid w:val="00A430EC"/>
    <w:rsid w:val="00A4371D"/>
    <w:rsid w:val="00A44335"/>
    <w:rsid w:val="00A448B3"/>
    <w:rsid w:val="00A4645A"/>
    <w:rsid w:val="00A466D4"/>
    <w:rsid w:val="00A47F02"/>
    <w:rsid w:val="00A53724"/>
    <w:rsid w:val="00A54B2B"/>
    <w:rsid w:val="00A60806"/>
    <w:rsid w:val="00A63691"/>
    <w:rsid w:val="00A64AFF"/>
    <w:rsid w:val="00A657D6"/>
    <w:rsid w:val="00A664C3"/>
    <w:rsid w:val="00A72629"/>
    <w:rsid w:val="00A7298F"/>
    <w:rsid w:val="00A745A3"/>
    <w:rsid w:val="00A75A4F"/>
    <w:rsid w:val="00A82346"/>
    <w:rsid w:val="00A85727"/>
    <w:rsid w:val="00A860CF"/>
    <w:rsid w:val="00A90727"/>
    <w:rsid w:val="00A91596"/>
    <w:rsid w:val="00A94027"/>
    <w:rsid w:val="00A9671C"/>
    <w:rsid w:val="00AA1553"/>
    <w:rsid w:val="00AA4F5A"/>
    <w:rsid w:val="00AA5A02"/>
    <w:rsid w:val="00AA610D"/>
    <w:rsid w:val="00AA6D24"/>
    <w:rsid w:val="00AB20DF"/>
    <w:rsid w:val="00AB2C03"/>
    <w:rsid w:val="00AB3DDD"/>
    <w:rsid w:val="00AB4454"/>
    <w:rsid w:val="00AC507F"/>
    <w:rsid w:val="00AC6887"/>
    <w:rsid w:val="00AD3082"/>
    <w:rsid w:val="00AE390A"/>
    <w:rsid w:val="00AE5D2D"/>
    <w:rsid w:val="00AF1733"/>
    <w:rsid w:val="00AF1776"/>
    <w:rsid w:val="00AF371E"/>
    <w:rsid w:val="00AF649F"/>
    <w:rsid w:val="00AF7C5F"/>
    <w:rsid w:val="00B0385E"/>
    <w:rsid w:val="00B04A76"/>
    <w:rsid w:val="00B05380"/>
    <w:rsid w:val="00B05962"/>
    <w:rsid w:val="00B0728D"/>
    <w:rsid w:val="00B11EAC"/>
    <w:rsid w:val="00B13A48"/>
    <w:rsid w:val="00B14B63"/>
    <w:rsid w:val="00B15449"/>
    <w:rsid w:val="00B157CB"/>
    <w:rsid w:val="00B15B76"/>
    <w:rsid w:val="00B16C2F"/>
    <w:rsid w:val="00B176C9"/>
    <w:rsid w:val="00B2602A"/>
    <w:rsid w:val="00B261CD"/>
    <w:rsid w:val="00B27303"/>
    <w:rsid w:val="00B30F22"/>
    <w:rsid w:val="00B31F1F"/>
    <w:rsid w:val="00B31F7E"/>
    <w:rsid w:val="00B34577"/>
    <w:rsid w:val="00B413F2"/>
    <w:rsid w:val="00B422C6"/>
    <w:rsid w:val="00B423D7"/>
    <w:rsid w:val="00B4636F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965D1"/>
    <w:rsid w:val="00BA18CB"/>
    <w:rsid w:val="00BA55D1"/>
    <w:rsid w:val="00BA56A5"/>
    <w:rsid w:val="00BB12BA"/>
    <w:rsid w:val="00BB15DE"/>
    <w:rsid w:val="00BB1F15"/>
    <w:rsid w:val="00BB242A"/>
    <w:rsid w:val="00BB3BBA"/>
    <w:rsid w:val="00BB7251"/>
    <w:rsid w:val="00BB7C42"/>
    <w:rsid w:val="00BC1BC3"/>
    <w:rsid w:val="00BC32E4"/>
    <w:rsid w:val="00BC3555"/>
    <w:rsid w:val="00BD03E5"/>
    <w:rsid w:val="00BD2CE9"/>
    <w:rsid w:val="00BD46AD"/>
    <w:rsid w:val="00BD5D0A"/>
    <w:rsid w:val="00BE034C"/>
    <w:rsid w:val="00BE07D3"/>
    <w:rsid w:val="00BE0AF3"/>
    <w:rsid w:val="00BE1FD5"/>
    <w:rsid w:val="00BE2A19"/>
    <w:rsid w:val="00BF14F3"/>
    <w:rsid w:val="00BF3CBC"/>
    <w:rsid w:val="00BF4333"/>
    <w:rsid w:val="00BF4969"/>
    <w:rsid w:val="00C00351"/>
    <w:rsid w:val="00C00512"/>
    <w:rsid w:val="00C04A27"/>
    <w:rsid w:val="00C060FE"/>
    <w:rsid w:val="00C11561"/>
    <w:rsid w:val="00C12B51"/>
    <w:rsid w:val="00C1493D"/>
    <w:rsid w:val="00C151D4"/>
    <w:rsid w:val="00C1670C"/>
    <w:rsid w:val="00C21AA8"/>
    <w:rsid w:val="00C23F90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21A"/>
    <w:rsid w:val="00C479AE"/>
    <w:rsid w:val="00C5010C"/>
    <w:rsid w:val="00C5362D"/>
    <w:rsid w:val="00C54AE7"/>
    <w:rsid w:val="00C54B3F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66F72"/>
    <w:rsid w:val="00C70DC4"/>
    <w:rsid w:val="00C760D4"/>
    <w:rsid w:val="00C76A1A"/>
    <w:rsid w:val="00C76B6B"/>
    <w:rsid w:val="00C779A7"/>
    <w:rsid w:val="00C804CA"/>
    <w:rsid w:val="00C81DF7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22F"/>
    <w:rsid w:val="00CA654B"/>
    <w:rsid w:val="00CA7092"/>
    <w:rsid w:val="00CB3154"/>
    <w:rsid w:val="00CB40C7"/>
    <w:rsid w:val="00CB4772"/>
    <w:rsid w:val="00CB66BC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D7B63"/>
    <w:rsid w:val="00CE08D1"/>
    <w:rsid w:val="00CE1B38"/>
    <w:rsid w:val="00CE31BB"/>
    <w:rsid w:val="00CE7B23"/>
    <w:rsid w:val="00CF1E1A"/>
    <w:rsid w:val="00CF2423"/>
    <w:rsid w:val="00CF4D95"/>
    <w:rsid w:val="00CF73D9"/>
    <w:rsid w:val="00D011CA"/>
    <w:rsid w:val="00D020FC"/>
    <w:rsid w:val="00D06125"/>
    <w:rsid w:val="00D06188"/>
    <w:rsid w:val="00D107B7"/>
    <w:rsid w:val="00D12DDB"/>
    <w:rsid w:val="00D1769D"/>
    <w:rsid w:val="00D24C0D"/>
    <w:rsid w:val="00D30C9E"/>
    <w:rsid w:val="00D33400"/>
    <w:rsid w:val="00D33BE3"/>
    <w:rsid w:val="00D3498F"/>
    <w:rsid w:val="00D35DEB"/>
    <w:rsid w:val="00D36C63"/>
    <w:rsid w:val="00D3792D"/>
    <w:rsid w:val="00D43FB4"/>
    <w:rsid w:val="00D44D37"/>
    <w:rsid w:val="00D47CAD"/>
    <w:rsid w:val="00D507E3"/>
    <w:rsid w:val="00D51036"/>
    <w:rsid w:val="00D51BE4"/>
    <w:rsid w:val="00D52FC5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6809"/>
    <w:rsid w:val="00D80795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3414"/>
    <w:rsid w:val="00DA6127"/>
    <w:rsid w:val="00DA7A03"/>
    <w:rsid w:val="00DB0C97"/>
    <w:rsid w:val="00DB0DB8"/>
    <w:rsid w:val="00DB159F"/>
    <w:rsid w:val="00DB1818"/>
    <w:rsid w:val="00DB1F9F"/>
    <w:rsid w:val="00DB3918"/>
    <w:rsid w:val="00DB74A8"/>
    <w:rsid w:val="00DC309B"/>
    <w:rsid w:val="00DC3ED9"/>
    <w:rsid w:val="00DC44E4"/>
    <w:rsid w:val="00DC4DA2"/>
    <w:rsid w:val="00DC5261"/>
    <w:rsid w:val="00DC5BBA"/>
    <w:rsid w:val="00DC6A61"/>
    <w:rsid w:val="00DC75FA"/>
    <w:rsid w:val="00DD3480"/>
    <w:rsid w:val="00DD5188"/>
    <w:rsid w:val="00DD64BE"/>
    <w:rsid w:val="00DE001F"/>
    <w:rsid w:val="00DE03D3"/>
    <w:rsid w:val="00DE0B51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3766"/>
    <w:rsid w:val="00E147E9"/>
    <w:rsid w:val="00E14C25"/>
    <w:rsid w:val="00E1589E"/>
    <w:rsid w:val="00E15BD7"/>
    <w:rsid w:val="00E16BF5"/>
    <w:rsid w:val="00E223EE"/>
    <w:rsid w:val="00E24C00"/>
    <w:rsid w:val="00E262F2"/>
    <w:rsid w:val="00E3746D"/>
    <w:rsid w:val="00E37E4F"/>
    <w:rsid w:val="00E41B53"/>
    <w:rsid w:val="00E41C0F"/>
    <w:rsid w:val="00E45739"/>
    <w:rsid w:val="00E46C08"/>
    <w:rsid w:val="00E471CF"/>
    <w:rsid w:val="00E47979"/>
    <w:rsid w:val="00E54A76"/>
    <w:rsid w:val="00E55148"/>
    <w:rsid w:val="00E609A3"/>
    <w:rsid w:val="00E62835"/>
    <w:rsid w:val="00E62BC9"/>
    <w:rsid w:val="00E65A87"/>
    <w:rsid w:val="00E66ABA"/>
    <w:rsid w:val="00E67116"/>
    <w:rsid w:val="00E7096B"/>
    <w:rsid w:val="00E74E5E"/>
    <w:rsid w:val="00E76044"/>
    <w:rsid w:val="00E76419"/>
    <w:rsid w:val="00E766EC"/>
    <w:rsid w:val="00E77645"/>
    <w:rsid w:val="00E833D1"/>
    <w:rsid w:val="00E83697"/>
    <w:rsid w:val="00E859B6"/>
    <w:rsid w:val="00E8654C"/>
    <w:rsid w:val="00E86809"/>
    <w:rsid w:val="00E86D6D"/>
    <w:rsid w:val="00E9509D"/>
    <w:rsid w:val="00E96CD0"/>
    <w:rsid w:val="00E96F95"/>
    <w:rsid w:val="00EA0A85"/>
    <w:rsid w:val="00EA12F9"/>
    <w:rsid w:val="00EA3E27"/>
    <w:rsid w:val="00EA5A15"/>
    <w:rsid w:val="00EA66C9"/>
    <w:rsid w:val="00EA715F"/>
    <w:rsid w:val="00EB06B2"/>
    <w:rsid w:val="00EB348E"/>
    <w:rsid w:val="00EB378C"/>
    <w:rsid w:val="00EB4E14"/>
    <w:rsid w:val="00EB56A0"/>
    <w:rsid w:val="00EB5A68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6022"/>
    <w:rsid w:val="00EE00AC"/>
    <w:rsid w:val="00EE5AAD"/>
    <w:rsid w:val="00EE5F79"/>
    <w:rsid w:val="00EE671D"/>
    <w:rsid w:val="00EF0C39"/>
    <w:rsid w:val="00EF0DB9"/>
    <w:rsid w:val="00EF612C"/>
    <w:rsid w:val="00F00A10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5CE3"/>
    <w:rsid w:val="00F26EB7"/>
    <w:rsid w:val="00F275A1"/>
    <w:rsid w:val="00F3039A"/>
    <w:rsid w:val="00F31372"/>
    <w:rsid w:val="00F341BE"/>
    <w:rsid w:val="00F3485F"/>
    <w:rsid w:val="00F34F8C"/>
    <w:rsid w:val="00F36DFC"/>
    <w:rsid w:val="00F37678"/>
    <w:rsid w:val="00F37743"/>
    <w:rsid w:val="00F40A3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5286"/>
    <w:rsid w:val="00F571A8"/>
    <w:rsid w:val="00F579CD"/>
    <w:rsid w:val="00F633B4"/>
    <w:rsid w:val="00F653B8"/>
    <w:rsid w:val="00F701EF"/>
    <w:rsid w:val="00F71B89"/>
    <w:rsid w:val="00F72021"/>
    <w:rsid w:val="00F7353C"/>
    <w:rsid w:val="00F758D2"/>
    <w:rsid w:val="00F76F8F"/>
    <w:rsid w:val="00F77B35"/>
    <w:rsid w:val="00F77CC7"/>
    <w:rsid w:val="00F77EE4"/>
    <w:rsid w:val="00F811D9"/>
    <w:rsid w:val="00F8332A"/>
    <w:rsid w:val="00F83C4F"/>
    <w:rsid w:val="00F84D86"/>
    <w:rsid w:val="00F8516F"/>
    <w:rsid w:val="00F941DF"/>
    <w:rsid w:val="00F975E4"/>
    <w:rsid w:val="00FA1266"/>
    <w:rsid w:val="00FA2071"/>
    <w:rsid w:val="00FA3474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3F63"/>
    <w:rsid w:val="00FC4291"/>
    <w:rsid w:val="00FC5E42"/>
    <w:rsid w:val="00FC7E40"/>
    <w:rsid w:val="00FD0A57"/>
    <w:rsid w:val="00FD6EDB"/>
    <w:rsid w:val="00FD70B9"/>
    <w:rsid w:val="00FE106D"/>
    <w:rsid w:val="00FE1C0F"/>
    <w:rsid w:val="00FE251B"/>
    <w:rsid w:val="00FE520E"/>
    <w:rsid w:val="00FE6612"/>
    <w:rsid w:val="00FE68AA"/>
    <w:rsid w:val="00FE6EF1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633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qFormat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040B"/>
    <w:pPr>
      <w:spacing w:before="60" w:after="0"/>
      <w:ind w:left="1259" w:hanging="1259"/>
    </w:pPr>
    <w:rPr>
      <w:rFonts w:cs="Times New Roman"/>
      <w:noProof/>
      <w:lang w:val="en-GB"/>
    </w:rPr>
  </w:style>
  <w:style w:type="character" w:customStyle="1" w:styleId="Doc-titleChar">
    <w:name w:val="Doc-title Char"/>
    <w:link w:val="Doc-title"/>
    <w:qFormat/>
    <w:rsid w:val="0087040B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040B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87040B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CE79D-6372-4AB4-A2FA-0E449E28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2023-02-17T06:22:00Z</dcterms:created>
  <dcterms:modified xsi:type="dcterms:W3CDTF">2023-02-17T06:22:00Z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